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AFC87" w14:textId="77777777" w:rsidR="00911E37" w:rsidRPr="00F320A5" w:rsidRDefault="00F320A5" w:rsidP="00911E37">
      <w:pPr>
        <w:spacing w:line="340" w:lineRule="exact"/>
        <w:jc w:val="both"/>
        <w:rPr>
          <w:b/>
          <w:caps/>
          <w:sz w:val="20"/>
          <w:lang w:val="cs-CZ"/>
        </w:rPr>
      </w:pPr>
      <w:r w:rsidRPr="00F320A5">
        <w:rPr>
          <w:b/>
          <w:caps/>
          <w:sz w:val="20"/>
          <w:lang w:val="cs-CZ"/>
        </w:rPr>
        <w:t>Tisková zpráva</w:t>
      </w:r>
      <w:bookmarkStart w:id="0" w:name="_GoBack"/>
      <w:bookmarkEnd w:id="0"/>
    </w:p>
    <w:p w14:paraId="4416A321" w14:textId="36B1239E" w:rsidR="00603F97" w:rsidRPr="00F320A5" w:rsidRDefault="00026826" w:rsidP="00740711">
      <w:pPr>
        <w:pStyle w:val="RH"/>
        <w:ind w:left="0" w:firstLine="0"/>
        <w:rPr>
          <w:rFonts w:ascii="Arial" w:hAnsi="Arial" w:cs="Arial"/>
          <w:noProof/>
          <w:sz w:val="22"/>
        </w:rPr>
      </w:pPr>
      <w:r w:rsidRPr="00F320A5">
        <w:rPr>
          <w:rFonts w:ascii="Arial" w:hAnsi="Arial" w:cs="Arial"/>
          <w:sz w:val="22"/>
        </w:rPr>
        <w:t>D</w:t>
      </w:r>
      <w:r w:rsidR="00DE5667" w:rsidRPr="00F320A5">
        <w:rPr>
          <w:rFonts w:ascii="Arial" w:hAnsi="Arial" w:cs="Arial"/>
          <w:sz w:val="22"/>
        </w:rPr>
        <w:t>atum</w:t>
      </w:r>
      <w:r w:rsidR="00064B3B" w:rsidRPr="00F320A5">
        <w:rPr>
          <w:rFonts w:ascii="Arial" w:hAnsi="Arial" w:cs="Arial"/>
          <w:sz w:val="22"/>
        </w:rPr>
        <w:t xml:space="preserve">: </w:t>
      </w:r>
      <w:r w:rsidR="005E7DED">
        <w:rPr>
          <w:rFonts w:ascii="Arial" w:hAnsi="Arial" w:cs="Arial"/>
          <w:sz w:val="22"/>
        </w:rPr>
        <w:t>13</w:t>
      </w:r>
      <w:r w:rsidR="00127088">
        <w:rPr>
          <w:rFonts w:ascii="Arial" w:hAnsi="Arial" w:cs="Arial"/>
          <w:sz w:val="22"/>
        </w:rPr>
        <w:t>.</w:t>
      </w:r>
      <w:r w:rsidR="007261FF">
        <w:rPr>
          <w:rFonts w:ascii="Arial" w:hAnsi="Arial" w:cs="Arial"/>
          <w:sz w:val="22"/>
        </w:rPr>
        <w:t>1</w:t>
      </w:r>
      <w:r w:rsidR="00127088">
        <w:rPr>
          <w:rFonts w:ascii="Arial" w:hAnsi="Arial" w:cs="Arial"/>
          <w:sz w:val="22"/>
        </w:rPr>
        <w:t>. 201</w:t>
      </w:r>
      <w:r w:rsidR="007261FF">
        <w:rPr>
          <w:rFonts w:ascii="Arial" w:hAnsi="Arial" w:cs="Arial"/>
          <w:sz w:val="22"/>
        </w:rPr>
        <w:t>9</w:t>
      </w:r>
    </w:p>
    <w:p w14:paraId="337D0BE5" w14:textId="77777777" w:rsidR="00DE5667" w:rsidRPr="00F320A5" w:rsidRDefault="00DE5667" w:rsidP="00740711">
      <w:pPr>
        <w:pStyle w:val="RH"/>
        <w:ind w:left="0" w:firstLine="0"/>
        <w:rPr>
          <w:rFonts w:ascii="Arial" w:hAnsi="Arial" w:cs="Arial"/>
          <w:sz w:val="22"/>
        </w:rPr>
      </w:pPr>
    </w:p>
    <w:p w14:paraId="5F3E210A" w14:textId="77777777" w:rsidR="00481D5E" w:rsidRPr="00F320A5" w:rsidRDefault="00F320A5" w:rsidP="00AA356B">
      <w:pPr>
        <w:spacing w:line="280" w:lineRule="exact"/>
        <w:jc w:val="both"/>
        <w:rPr>
          <w:b/>
          <w:sz w:val="24"/>
          <w:szCs w:val="24"/>
          <w:lang w:val="cs-CZ"/>
        </w:rPr>
      </w:pPr>
      <w:bookmarkStart w:id="1" w:name="_Hlk25330337"/>
      <w:r w:rsidRPr="000772E8">
        <w:rPr>
          <w:b/>
          <w:color w:val="D31145"/>
          <w:sz w:val="24"/>
          <w:szCs w:val="24"/>
          <w:lang w:val="cs-CZ"/>
        </w:rPr>
        <w:t>bpv</w:t>
      </w:r>
      <w:r>
        <w:rPr>
          <w:b/>
          <w:sz w:val="24"/>
          <w:szCs w:val="24"/>
          <w:lang w:val="cs-CZ"/>
        </w:rPr>
        <w:t xml:space="preserve"> </w:t>
      </w:r>
      <w:r w:rsidR="00A8081A">
        <w:rPr>
          <w:b/>
          <w:sz w:val="24"/>
          <w:szCs w:val="24"/>
          <w:lang w:val="cs-CZ"/>
        </w:rPr>
        <w:t>BRAUN PARTNERS</w:t>
      </w:r>
      <w:r w:rsidR="007A2E80">
        <w:rPr>
          <w:b/>
          <w:sz w:val="24"/>
          <w:szCs w:val="24"/>
          <w:lang w:val="cs-CZ"/>
        </w:rPr>
        <w:t xml:space="preserve"> </w:t>
      </w:r>
      <w:r w:rsidR="002A7E82">
        <w:rPr>
          <w:b/>
          <w:sz w:val="24"/>
          <w:szCs w:val="24"/>
          <w:lang w:val="cs-CZ"/>
        </w:rPr>
        <w:t xml:space="preserve">asistovala </w:t>
      </w:r>
      <w:r w:rsidR="005E2951">
        <w:rPr>
          <w:b/>
          <w:sz w:val="24"/>
          <w:szCs w:val="24"/>
          <w:lang w:val="cs-CZ"/>
        </w:rPr>
        <w:t>společnosti</w:t>
      </w:r>
      <w:r w:rsidR="005619E4">
        <w:rPr>
          <w:b/>
          <w:sz w:val="24"/>
          <w:szCs w:val="24"/>
          <w:lang w:val="cs-CZ"/>
        </w:rPr>
        <w:t xml:space="preserve"> Pojišťovna Patricie a.s. (dříve </w:t>
      </w:r>
      <w:proofErr w:type="spellStart"/>
      <w:r w:rsidR="005619E4">
        <w:rPr>
          <w:b/>
          <w:sz w:val="24"/>
          <w:szCs w:val="24"/>
          <w:lang w:val="cs-CZ"/>
        </w:rPr>
        <w:t>Generali</w:t>
      </w:r>
      <w:proofErr w:type="spellEnd"/>
      <w:r w:rsidR="005619E4">
        <w:rPr>
          <w:b/>
          <w:sz w:val="24"/>
          <w:szCs w:val="24"/>
          <w:lang w:val="cs-CZ"/>
        </w:rPr>
        <w:t xml:space="preserve"> Pojišťovna a.s.)</w:t>
      </w:r>
      <w:r w:rsidR="00234B69" w:rsidRPr="00234B69">
        <w:rPr>
          <w:b/>
          <w:sz w:val="24"/>
          <w:szCs w:val="24"/>
          <w:lang w:val="cs-CZ"/>
        </w:rPr>
        <w:t xml:space="preserve"> </w:t>
      </w:r>
      <w:r w:rsidR="002A7E82">
        <w:rPr>
          <w:b/>
          <w:sz w:val="24"/>
          <w:szCs w:val="24"/>
          <w:lang w:val="cs-CZ"/>
        </w:rPr>
        <w:t>při</w:t>
      </w:r>
      <w:r w:rsidR="005619E4">
        <w:rPr>
          <w:b/>
          <w:sz w:val="24"/>
          <w:szCs w:val="24"/>
          <w:lang w:val="cs-CZ"/>
        </w:rPr>
        <w:t xml:space="preserve"> prodeji projektových nemovitostí</w:t>
      </w:r>
    </w:p>
    <w:p w14:paraId="6D865618" w14:textId="0CE171EF" w:rsidR="00E57C07" w:rsidRDefault="00234B69" w:rsidP="00481D5E">
      <w:pPr>
        <w:spacing w:line="280" w:lineRule="exact"/>
        <w:jc w:val="both"/>
        <w:rPr>
          <w:sz w:val="20"/>
          <w:lang w:val="cs-CZ"/>
        </w:rPr>
      </w:pPr>
      <w:bookmarkStart w:id="2" w:name="_Hlk29385309"/>
      <w:r w:rsidRPr="00886C02">
        <w:rPr>
          <w:sz w:val="20"/>
          <w:lang w:val="cs-CZ"/>
        </w:rPr>
        <w:t xml:space="preserve">Advokátní kancelář </w:t>
      </w:r>
      <w:r w:rsidRPr="000772E8">
        <w:rPr>
          <w:b/>
          <w:color w:val="D31145"/>
          <w:sz w:val="20"/>
          <w:lang w:val="cs-CZ"/>
        </w:rPr>
        <w:t>bpv</w:t>
      </w:r>
      <w:r w:rsidRPr="00886C02">
        <w:rPr>
          <w:b/>
          <w:color w:val="C00000"/>
          <w:sz w:val="20"/>
          <w:lang w:val="cs-CZ"/>
        </w:rPr>
        <w:t xml:space="preserve"> </w:t>
      </w:r>
      <w:r w:rsidRPr="00886C02">
        <w:rPr>
          <w:b/>
          <w:sz w:val="20"/>
          <w:lang w:val="cs-CZ"/>
        </w:rPr>
        <w:t>BRAUN PARTNERS</w:t>
      </w:r>
      <w:r w:rsidRPr="00886C02">
        <w:rPr>
          <w:sz w:val="20"/>
          <w:lang w:val="cs-CZ"/>
        </w:rPr>
        <w:t xml:space="preserve"> poskytovala komplexní právní poradenství svému klientovi</w:t>
      </w:r>
      <w:r w:rsidR="005715B2">
        <w:rPr>
          <w:sz w:val="20"/>
          <w:lang w:val="cs-CZ"/>
        </w:rPr>
        <w:t xml:space="preserve"> </w:t>
      </w:r>
      <w:r w:rsidR="00CF466E">
        <w:rPr>
          <w:sz w:val="20"/>
          <w:lang w:val="cs-CZ"/>
        </w:rPr>
        <w:t>ve dvou transakcích – první se týkala prodeje dvou</w:t>
      </w:r>
      <w:r w:rsidR="005619E4">
        <w:rPr>
          <w:sz w:val="20"/>
          <w:lang w:val="cs-CZ"/>
        </w:rPr>
        <w:t xml:space="preserve"> projektových nemovitostí v</w:t>
      </w:r>
      <w:r w:rsidR="00CF466E">
        <w:rPr>
          <w:sz w:val="20"/>
          <w:lang w:val="cs-CZ"/>
        </w:rPr>
        <w:t> </w:t>
      </w:r>
      <w:r w:rsidR="005619E4">
        <w:rPr>
          <w:sz w:val="20"/>
          <w:lang w:val="cs-CZ"/>
        </w:rPr>
        <w:t>Praze</w:t>
      </w:r>
      <w:r w:rsidR="00CF466E">
        <w:rPr>
          <w:sz w:val="20"/>
          <w:lang w:val="cs-CZ"/>
        </w:rPr>
        <w:t xml:space="preserve"> v rámci skupiny</w:t>
      </w:r>
      <w:r w:rsidR="005619E4">
        <w:rPr>
          <w:sz w:val="20"/>
          <w:lang w:val="cs-CZ"/>
        </w:rPr>
        <w:t>,</w:t>
      </w:r>
      <w:r w:rsidR="00CF466E">
        <w:rPr>
          <w:sz w:val="20"/>
          <w:lang w:val="cs-CZ"/>
        </w:rPr>
        <w:t xml:space="preserve"> druhá transakce zahrnovala </w:t>
      </w:r>
      <w:proofErr w:type="spellStart"/>
      <w:r w:rsidR="00CF466E">
        <w:rPr>
          <w:sz w:val="20"/>
          <w:lang w:val="cs-CZ"/>
        </w:rPr>
        <w:t>extragroup</w:t>
      </w:r>
      <w:proofErr w:type="spellEnd"/>
      <w:r w:rsidR="00CF466E">
        <w:rPr>
          <w:sz w:val="20"/>
          <w:lang w:val="cs-CZ"/>
        </w:rPr>
        <w:t xml:space="preserve"> prodej nemovitostí</w:t>
      </w:r>
      <w:r w:rsidR="005619E4">
        <w:rPr>
          <w:sz w:val="20"/>
          <w:lang w:val="cs-CZ"/>
        </w:rPr>
        <w:t xml:space="preserve"> Ostravě a Ústí nad Labem</w:t>
      </w:r>
      <w:r w:rsidR="00593A07">
        <w:rPr>
          <w:sz w:val="20"/>
          <w:lang w:val="cs-CZ"/>
        </w:rPr>
        <w:t>, a to</w:t>
      </w:r>
      <w:r w:rsidR="00CF466E">
        <w:rPr>
          <w:sz w:val="20"/>
          <w:lang w:val="cs-CZ"/>
        </w:rPr>
        <w:t xml:space="preserve"> skupině </w:t>
      </w:r>
      <w:proofErr w:type="spellStart"/>
      <w:r w:rsidR="00CF466E">
        <w:rPr>
          <w:sz w:val="20"/>
          <w:lang w:val="cs-CZ"/>
        </w:rPr>
        <w:t>Capexus</w:t>
      </w:r>
      <w:proofErr w:type="spellEnd"/>
      <w:r w:rsidRPr="00886C02">
        <w:rPr>
          <w:sz w:val="20"/>
          <w:lang w:val="cs-CZ"/>
        </w:rPr>
        <w:t>. Právní poradenství obsahovalo</w:t>
      </w:r>
      <w:r w:rsidR="005619E4">
        <w:rPr>
          <w:sz w:val="20"/>
          <w:lang w:val="cs-CZ"/>
        </w:rPr>
        <w:t xml:space="preserve"> </w:t>
      </w:r>
      <w:r w:rsidR="00E57C07">
        <w:rPr>
          <w:sz w:val="20"/>
          <w:lang w:val="cs-CZ"/>
        </w:rPr>
        <w:t>nejen</w:t>
      </w:r>
      <w:r w:rsidR="005619E4">
        <w:rPr>
          <w:sz w:val="20"/>
          <w:lang w:val="cs-CZ"/>
        </w:rPr>
        <w:t xml:space="preserve"> přípravu transakční dokumentace</w:t>
      </w:r>
      <w:r w:rsidR="00E57C07">
        <w:rPr>
          <w:sz w:val="20"/>
          <w:lang w:val="cs-CZ"/>
        </w:rPr>
        <w:t>,</w:t>
      </w:r>
      <w:r w:rsidR="005619E4">
        <w:rPr>
          <w:sz w:val="20"/>
          <w:lang w:val="cs-CZ"/>
        </w:rPr>
        <w:t xml:space="preserve"> a</w:t>
      </w:r>
      <w:r w:rsidR="00E57C07">
        <w:rPr>
          <w:sz w:val="20"/>
          <w:lang w:val="cs-CZ"/>
        </w:rPr>
        <w:t xml:space="preserve">le </w:t>
      </w:r>
      <w:r w:rsidR="00D13304">
        <w:rPr>
          <w:sz w:val="20"/>
          <w:lang w:val="cs-CZ"/>
        </w:rPr>
        <w:t>i zajištění</w:t>
      </w:r>
      <w:r w:rsidR="005619E4">
        <w:rPr>
          <w:sz w:val="20"/>
          <w:lang w:val="cs-CZ"/>
        </w:rPr>
        <w:t xml:space="preserve"> finalizace transakce</w:t>
      </w:r>
      <w:r w:rsidRPr="00886C02">
        <w:rPr>
          <w:sz w:val="20"/>
          <w:lang w:val="cs-CZ"/>
        </w:rPr>
        <w:t xml:space="preserve">. </w:t>
      </w:r>
    </w:p>
    <w:bookmarkEnd w:id="2"/>
    <w:p w14:paraId="55A1D246" w14:textId="3FDCA874" w:rsidR="003F7E15" w:rsidRPr="00886C02" w:rsidRDefault="00886C02" w:rsidP="00481D5E">
      <w:pPr>
        <w:spacing w:line="280" w:lineRule="exact"/>
        <w:jc w:val="both"/>
        <w:rPr>
          <w:sz w:val="20"/>
          <w:lang w:val="cs-CZ"/>
        </w:rPr>
      </w:pPr>
      <w:r w:rsidRPr="00886C02">
        <w:rPr>
          <w:sz w:val="20"/>
          <w:lang w:val="cs-CZ"/>
        </w:rPr>
        <w:t>Cenu transakce</w:t>
      </w:r>
      <w:r w:rsidR="00CF466E">
        <w:rPr>
          <w:sz w:val="20"/>
          <w:lang w:val="cs-CZ"/>
        </w:rPr>
        <w:t xml:space="preserve"> se</w:t>
      </w:r>
      <w:r w:rsidR="00593A07">
        <w:rPr>
          <w:sz w:val="20"/>
          <w:lang w:val="cs-CZ"/>
        </w:rPr>
        <w:t xml:space="preserve"> </w:t>
      </w:r>
      <w:r w:rsidRPr="00886C02">
        <w:rPr>
          <w:sz w:val="20"/>
          <w:lang w:val="cs-CZ"/>
        </w:rPr>
        <w:t xml:space="preserve">obě strany rozhodly nezveřejňovat. </w:t>
      </w:r>
    </w:p>
    <w:p w14:paraId="3C0CB580" w14:textId="77777777" w:rsidR="00E57C07" w:rsidRPr="00886C02" w:rsidRDefault="00DF1EAE" w:rsidP="00E57C07">
      <w:pPr>
        <w:spacing w:line="280" w:lineRule="exact"/>
        <w:jc w:val="both"/>
        <w:rPr>
          <w:sz w:val="20"/>
          <w:lang w:val="cs-CZ"/>
        </w:rPr>
      </w:pPr>
      <w:r>
        <w:rPr>
          <w:sz w:val="20"/>
          <w:lang w:val="cs-CZ"/>
        </w:rPr>
        <w:t>O hladký průběh celé transakce se postaral tým ve složení</w:t>
      </w:r>
      <w:r w:rsidR="00E57C07">
        <w:rPr>
          <w:sz w:val="20"/>
          <w:lang w:val="cs-CZ"/>
        </w:rPr>
        <w:t xml:space="preserve"> partner</w:t>
      </w:r>
      <w:r>
        <w:rPr>
          <w:sz w:val="20"/>
          <w:lang w:val="cs-CZ"/>
        </w:rPr>
        <w:t>a</w:t>
      </w:r>
      <w:r w:rsidR="00E57C07" w:rsidRPr="00886C02">
        <w:rPr>
          <w:sz w:val="20"/>
          <w:lang w:val="cs-CZ"/>
        </w:rPr>
        <w:t xml:space="preserve"> </w:t>
      </w:r>
      <w:hyperlink r:id="rId8" w:history="1">
        <w:r>
          <w:rPr>
            <w:rStyle w:val="Hypertextovodkaz"/>
            <w:sz w:val="20"/>
            <w:lang w:val="cs-CZ"/>
          </w:rPr>
          <w:t>Jiřího Bárty</w:t>
        </w:r>
      </w:hyperlink>
      <w:r w:rsidR="00E57C07">
        <w:rPr>
          <w:sz w:val="20"/>
          <w:lang w:val="cs-CZ"/>
        </w:rPr>
        <w:t xml:space="preserve"> společně s advokátkou </w:t>
      </w:r>
      <w:hyperlink r:id="rId9" w:history="1">
        <w:r w:rsidR="00E57C07">
          <w:rPr>
            <w:rStyle w:val="Hypertextovodkaz"/>
            <w:sz w:val="20"/>
            <w:lang w:val="cs-CZ"/>
          </w:rPr>
          <w:t>Markétou Nešetřilovou</w:t>
        </w:r>
      </w:hyperlink>
      <w:r w:rsidR="00E57C07">
        <w:rPr>
          <w:sz w:val="20"/>
          <w:lang w:val="cs-CZ"/>
        </w:rPr>
        <w:t>.</w:t>
      </w:r>
    </w:p>
    <w:p w14:paraId="4E9BC2D2" w14:textId="44B02E34" w:rsidR="007A2E80" w:rsidRDefault="00886C02" w:rsidP="007A2E80">
      <w:pPr>
        <w:spacing w:line="280" w:lineRule="exact"/>
        <w:jc w:val="both"/>
        <w:rPr>
          <w:sz w:val="20"/>
          <w:lang w:val="cs-CZ"/>
        </w:rPr>
      </w:pPr>
      <w:r w:rsidRPr="00886C02">
        <w:rPr>
          <w:sz w:val="20"/>
          <w:lang w:val="cs-CZ"/>
        </w:rPr>
        <w:t xml:space="preserve">Na straně </w:t>
      </w:r>
      <w:r w:rsidR="00CF466E">
        <w:rPr>
          <w:sz w:val="20"/>
          <w:lang w:val="cs-CZ"/>
        </w:rPr>
        <w:t>kupujícího</w:t>
      </w:r>
      <w:r w:rsidRPr="00886C02">
        <w:rPr>
          <w:sz w:val="20"/>
          <w:lang w:val="cs-CZ"/>
        </w:rPr>
        <w:t xml:space="preserve"> zaštiťovali transakci advokáti z kanceláře </w:t>
      </w:r>
      <w:r w:rsidR="005619E4" w:rsidRPr="005619E4">
        <w:rPr>
          <w:sz w:val="20"/>
          <w:lang w:val="cs-CZ"/>
        </w:rPr>
        <w:t>HAVEL &amp; PARTNERS s.r.o., advokátní kancelář</w:t>
      </w:r>
      <w:r w:rsidR="005619E4">
        <w:rPr>
          <w:sz w:val="20"/>
          <w:lang w:val="cs-CZ"/>
        </w:rPr>
        <w:t xml:space="preserve"> a advokát </w:t>
      </w:r>
      <w:r w:rsidR="005619E4" w:rsidRPr="005619E4">
        <w:rPr>
          <w:sz w:val="20"/>
          <w:lang w:val="cs-CZ"/>
        </w:rPr>
        <w:t xml:space="preserve">JUDr. </w:t>
      </w:r>
      <w:r w:rsidR="005619E4" w:rsidRPr="000772E8">
        <w:rPr>
          <w:sz w:val="20"/>
          <w:lang w:val="cs-CZ"/>
        </w:rPr>
        <w:t>Theodor Klán</w:t>
      </w:r>
      <w:r w:rsidRPr="00886C02">
        <w:rPr>
          <w:sz w:val="20"/>
          <w:lang w:val="cs-CZ"/>
        </w:rPr>
        <w:t>.</w:t>
      </w:r>
    </w:p>
    <w:bookmarkEnd w:id="1"/>
    <w:p w14:paraId="488DCB87" w14:textId="77777777" w:rsidR="000772E8" w:rsidRDefault="000772E8" w:rsidP="00920F34">
      <w:pPr>
        <w:spacing w:after="240" w:line="280" w:lineRule="exact"/>
        <w:jc w:val="both"/>
        <w:rPr>
          <w:sz w:val="20"/>
          <w:lang w:val="cs-CZ"/>
        </w:rPr>
      </w:pPr>
      <w:proofErr w:type="spellStart"/>
      <w:r w:rsidRPr="000772E8">
        <w:rPr>
          <w:sz w:val="20"/>
          <w:lang w:val="cs-CZ"/>
        </w:rPr>
        <w:t>Generali</w:t>
      </w:r>
      <w:proofErr w:type="spellEnd"/>
      <w:r w:rsidRPr="000772E8">
        <w:rPr>
          <w:sz w:val="20"/>
          <w:lang w:val="cs-CZ"/>
        </w:rPr>
        <w:t xml:space="preserve"> Pojišťovna a.s.</w:t>
      </w:r>
      <w:r>
        <w:rPr>
          <w:sz w:val="20"/>
          <w:lang w:val="cs-CZ"/>
        </w:rPr>
        <w:t xml:space="preserve"> vystupuje</w:t>
      </w:r>
      <w:r w:rsidRPr="000772E8">
        <w:rPr>
          <w:sz w:val="20"/>
          <w:lang w:val="cs-CZ"/>
        </w:rPr>
        <w:t xml:space="preserve"> </w:t>
      </w:r>
      <w:r>
        <w:rPr>
          <w:sz w:val="20"/>
          <w:lang w:val="cs-CZ"/>
        </w:rPr>
        <w:t xml:space="preserve">od 21.12.2019 </w:t>
      </w:r>
      <w:r w:rsidRPr="000772E8">
        <w:rPr>
          <w:sz w:val="20"/>
          <w:lang w:val="cs-CZ"/>
        </w:rPr>
        <w:t xml:space="preserve">nově pod obchodním názvem </w:t>
      </w:r>
      <w:hyperlink r:id="rId10" w:history="1">
        <w:r w:rsidRPr="000772E8">
          <w:rPr>
            <w:rStyle w:val="Hypertextovodkaz"/>
            <w:sz w:val="20"/>
            <w:lang w:val="cs-CZ"/>
          </w:rPr>
          <w:t>Pojišťovna Patricie a.s.</w:t>
        </w:r>
      </w:hyperlink>
      <w:r w:rsidRPr="000772E8">
        <w:rPr>
          <w:sz w:val="20"/>
          <w:lang w:val="cs-CZ"/>
        </w:rPr>
        <w:t xml:space="preserve"> (člen skupiny </w:t>
      </w:r>
      <w:proofErr w:type="spellStart"/>
      <w:r w:rsidRPr="000772E8">
        <w:rPr>
          <w:sz w:val="20"/>
          <w:lang w:val="cs-CZ"/>
        </w:rPr>
        <w:t>Generali</w:t>
      </w:r>
      <w:proofErr w:type="spellEnd"/>
      <w:r w:rsidRPr="000772E8">
        <w:rPr>
          <w:sz w:val="20"/>
          <w:lang w:val="cs-CZ"/>
        </w:rPr>
        <w:t>)</w:t>
      </w:r>
      <w:r>
        <w:rPr>
          <w:sz w:val="20"/>
          <w:lang w:val="cs-CZ"/>
        </w:rPr>
        <w:t xml:space="preserve"> a jako taková patří mezi jeden z</w:t>
      </w:r>
      <w:r w:rsidR="00E57C07">
        <w:rPr>
          <w:sz w:val="20"/>
          <w:lang w:val="cs-CZ"/>
        </w:rPr>
        <w:t xml:space="preserve"> nejsilnějších a </w:t>
      </w:r>
      <w:r>
        <w:rPr>
          <w:sz w:val="20"/>
          <w:lang w:val="cs-CZ"/>
        </w:rPr>
        <w:t>nejstabilnějších pojišťovacích subjektů na českém trhu</w:t>
      </w:r>
      <w:r w:rsidR="00E57C07">
        <w:rPr>
          <w:sz w:val="20"/>
          <w:lang w:val="cs-CZ"/>
        </w:rPr>
        <w:t>, působící již od roku 1832.</w:t>
      </w:r>
    </w:p>
    <w:p w14:paraId="02C5E0B3" w14:textId="77777777" w:rsidR="000772E8" w:rsidRDefault="000772E8" w:rsidP="00920F34">
      <w:pPr>
        <w:spacing w:after="240" w:line="280" w:lineRule="exact"/>
        <w:jc w:val="both"/>
        <w:rPr>
          <w:sz w:val="20"/>
          <w:lang w:val="cs-CZ"/>
        </w:rPr>
      </w:pPr>
    </w:p>
    <w:p w14:paraId="7C49E0A8" w14:textId="77777777" w:rsidR="00481D5E" w:rsidRPr="00F320A5" w:rsidRDefault="005F60BF" w:rsidP="00920F34">
      <w:pPr>
        <w:spacing w:after="240" w:line="280" w:lineRule="exact"/>
        <w:jc w:val="both"/>
        <w:rPr>
          <w:b/>
          <w:sz w:val="20"/>
          <w:lang w:val="cs-CZ"/>
        </w:rPr>
      </w:pPr>
      <w:r>
        <w:rPr>
          <w:b/>
          <w:sz w:val="20"/>
          <w:lang w:val="cs-CZ"/>
        </w:rPr>
        <w:t>O společnosti</w:t>
      </w:r>
      <w:r w:rsidR="00481D5E" w:rsidRPr="00F320A5">
        <w:rPr>
          <w:b/>
          <w:sz w:val="20"/>
          <w:lang w:val="cs-CZ"/>
        </w:rPr>
        <w:t>:</w:t>
      </w:r>
    </w:p>
    <w:p w14:paraId="393C7EA0" w14:textId="77777777" w:rsidR="00481D5E" w:rsidRPr="008E5A90" w:rsidRDefault="008E5A90" w:rsidP="00920F34">
      <w:pPr>
        <w:keepNext/>
        <w:suppressAutoHyphens/>
        <w:spacing w:before="0" w:line="280" w:lineRule="exact"/>
        <w:jc w:val="both"/>
        <w:rPr>
          <w:sz w:val="20"/>
          <w:lang w:val="cs-CZ"/>
        </w:rPr>
      </w:pPr>
      <w:r>
        <w:rPr>
          <w:sz w:val="20"/>
          <w:lang w:val="cs-CZ"/>
        </w:rPr>
        <w:t>Advokátní kancelář</w:t>
      </w:r>
      <w:r w:rsidR="00481D5E" w:rsidRPr="00F320A5">
        <w:rPr>
          <w:sz w:val="20"/>
          <w:lang w:val="cs-CZ"/>
        </w:rPr>
        <w:t xml:space="preserve"> </w:t>
      </w:r>
      <w:r w:rsidR="00481D5E" w:rsidRPr="000772E8">
        <w:rPr>
          <w:b/>
          <w:color w:val="D31145"/>
          <w:sz w:val="20"/>
          <w:lang w:val="cs-CZ"/>
        </w:rPr>
        <w:t>bpv</w:t>
      </w:r>
      <w:r w:rsidR="00481D5E" w:rsidRPr="00F320A5">
        <w:rPr>
          <w:b/>
          <w:color w:val="C00000"/>
          <w:sz w:val="20"/>
          <w:lang w:val="cs-CZ"/>
        </w:rPr>
        <w:t xml:space="preserve"> </w:t>
      </w:r>
      <w:r w:rsidR="00481D5E" w:rsidRPr="00F320A5">
        <w:rPr>
          <w:b/>
          <w:sz w:val="20"/>
          <w:lang w:val="cs-CZ"/>
        </w:rPr>
        <w:t>BRAUN PARTNERS</w:t>
      </w:r>
      <w:r w:rsidR="00481D5E" w:rsidRPr="00F320A5">
        <w:rPr>
          <w:sz w:val="20"/>
          <w:lang w:val="cs-CZ"/>
        </w:rPr>
        <w:t xml:space="preserve"> </w:t>
      </w:r>
      <w:r w:rsidRPr="00821206">
        <w:rPr>
          <w:sz w:val="20"/>
          <w:lang w:val="cs-CZ"/>
        </w:rPr>
        <w:t>je jednou z nejvýznamnějších mezinárodních advokátních kanceláří v České republice a na Slovensku</w:t>
      </w:r>
      <w:r w:rsidR="00481D5E" w:rsidRPr="00F320A5">
        <w:rPr>
          <w:sz w:val="20"/>
          <w:lang w:val="cs-CZ"/>
        </w:rPr>
        <w:t xml:space="preserve">. </w:t>
      </w:r>
      <w:r>
        <w:rPr>
          <w:sz w:val="20"/>
          <w:lang w:val="cs-CZ"/>
        </w:rPr>
        <w:t>Současně je zakládajícím členem aliance</w:t>
      </w:r>
      <w:r w:rsidR="00481D5E" w:rsidRPr="00F320A5">
        <w:rPr>
          <w:sz w:val="20"/>
          <w:lang w:val="cs-CZ"/>
        </w:rPr>
        <w:t xml:space="preserve"> </w:t>
      </w:r>
      <w:r w:rsidR="00481D5E" w:rsidRPr="000772E8">
        <w:rPr>
          <w:b/>
          <w:color w:val="D31145"/>
          <w:sz w:val="20"/>
          <w:lang w:val="cs-CZ"/>
        </w:rPr>
        <w:t>bpv</w:t>
      </w:r>
      <w:r w:rsidR="00481D5E" w:rsidRPr="00F320A5">
        <w:rPr>
          <w:b/>
          <w:sz w:val="20"/>
          <w:lang w:val="cs-CZ"/>
        </w:rPr>
        <w:t xml:space="preserve"> LEGAL</w:t>
      </w:r>
      <w:r w:rsidR="00481D5E" w:rsidRPr="00F320A5">
        <w:rPr>
          <w:sz w:val="20"/>
          <w:lang w:val="cs-CZ"/>
        </w:rPr>
        <w:t xml:space="preserve">, </w:t>
      </w:r>
      <w:r>
        <w:rPr>
          <w:sz w:val="20"/>
          <w:lang w:val="cs-CZ"/>
        </w:rPr>
        <w:t>úzkého sdružení advokátních kanceláří, kte</w:t>
      </w:r>
      <w:r w:rsidR="003655B2">
        <w:rPr>
          <w:sz w:val="20"/>
          <w:lang w:val="cs-CZ"/>
        </w:rPr>
        <w:t>ré již po mnoho let spolupracuje</w:t>
      </w:r>
      <w:r>
        <w:rPr>
          <w:sz w:val="20"/>
          <w:lang w:val="cs-CZ"/>
        </w:rPr>
        <w:t xml:space="preserve"> v oblasti </w:t>
      </w:r>
      <w:r w:rsidRPr="00821206">
        <w:rPr>
          <w:sz w:val="20"/>
          <w:lang w:val="cs-CZ"/>
        </w:rPr>
        <w:t>střední a východní Evropy</w:t>
      </w:r>
      <w:r w:rsidR="00481D5E" w:rsidRPr="00F320A5">
        <w:rPr>
          <w:sz w:val="20"/>
          <w:lang w:val="cs-CZ"/>
        </w:rPr>
        <w:t xml:space="preserve">. </w:t>
      </w:r>
      <w:r>
        <w:rPr>
          <w:sz w:val="20"/>
          <w:lang w:val="cs-CZ"/>
        </w:rPr>
        <w:t xml:space="preserve">Její tým </w:t>
      </w:r>
      <w:r w:rsidR="00566130">
        <w:rPr>
          <w:sz w:val="20"/>
          <w:lang w:val="cs-CZ"/>
        </w:rPr>
        <w:t>tvoří</w:t>
      </w:r>
      <w:r>
        <w:rPr>
          <w:sz w:val="20"/>
          <w:lang w:val="cs-CZ"/>
        </w:rPr>
        <w:t xml:space="preserve"> </w:t>
      </w:r>
      <w:r w:rsidR="00481D5E" w:rsidRPr="00F320A5">
        <w:rPr>
          <w:sz w:val="20"/>
          <w:lang w:val="cs-CZ"/>
        </w:rPr>
        <w:t>3</w:t>
      </w:r>
      <w:r w:rsidR="007261FF">
        <w:rPr>
          <w:sz w:val="20"/>
          <w:lang w:val="cs-CZ"/>
        </w:rPr>
        <w:t>8</w:t>
      </w:r>
      <w:r w:rsidR="00481D5E" w:rsidRPr="00F320A5">
        <w:rPr>
          <w:sz w:val="20"/>
          <w:lang w:val="cs-CZ"/>
        </w:rPr>
        <w:t xml:space="preserve"> </w:t>
      </w:r>
      <w:r>
        <w:rPr>
          <w:sz w:val="20"/>
          <w:lang w:val="cs-CZ"/>
        </w:rPr>
        <w:t>právník</w:t>
      </w:r>
      <w:r w:rsidR="00566130">
        <w:rPr>
          <w:sz w:val="20"/>
          <w:lang w:val="cs-CZ"/>
        </w:rPr>
        <w:t>ů</w:t>
      </w:r>
      <w:r>
        <w:rPr>
          <w:sz w:val="20"/>
          <w:lang w:val="cs-CZ"/>
        </w:rPr>
        <w:t xml:space="preserve">, kteří nabízejí klientům z řad nejvýznamnějších českých, slovenských i mezinárodních korporací </w:t>
      </w:r>
      <w:r w:rsidR="00821206">
        <w:rPr>
          <w:sz w:val="20"/>
          <w:lang w:val="cs-CZ"/>
        </w:rPr>
        <w:t>rozsáhlé služby v mnoha právních odvětvích</w:t>
      </w:r>
      <w:r w:rsidR="00481D5E" w:rsidRPr="00F320A5">
        <w:rPr>
          <w:sz w:val="20"/>
          <w:lang w:val="cs-CZ"/>
        </w:rPr>
        <w:t xml:space="preserve">. </w:t>
      </w:r>
      <w:r w:rsidR="00821206">
        <w:rPr>
          <w:sz w:val="20"/>
          <w:lang w:val="cs-CZ"/>
        </w:rPr>
        <w:t xml:space="preserve">Mezi hlavní činnost advokátní kanceláře </w:t>
      </w:r>
      <w:r w:rsidR="00481D5E" w:rsidRPr="00F320A5">
        <w:rPr>
          <w:b/>
          <w:color w:val="D31140"/>
          <w:sz w:val="20"/>
          <w:lang w:val="cs-CZ"/>
        </w:rPr>
        <w:t>bpv</w:t>
      </w:r>
      <w:r w:rsidR="00481D5E" w:rsidRPr="00F320A5">
        <w:rPr>
          <w:b/>
          <w:color w:val="C00000"/>
          <w:sz w:val="20"/>
          <w:lang w:val="cs-CZ"/>
        </w:rPr>
        <w:t xml:space="preserve"> </w:t>
      </w:r>
      <w:r w:rsidR="00481D5E" w:rsidRPr="00F320A5">
        <w:rPr>
          <w:b/>
          <w:sz w:val="20"/>
          <w:lang w:val="cs-CZ"/>
        </w:rPr>
        <w:t>BRAUN PARTNERS</w:t>
      </w:r>
      <w:r w:rsidR="00481D5E" w:rsidRPr="00F320A5">
        <w:rPr>
          <w:sz w:val="20"/>
          <w:lang w:val="cs-CZ"/>
        </w:rPr>
        <w:t xml:space="preserve"> </w:t>
      </w:r>
      <w:r w:rsidR="00821206">
        <w:rPr>
          <w:sz w:val="20"/>
          <w:lang w:val="cs-CZ"/>
        </w:rPr>
        <w:t>patří</w:t>
      </w:r>
      <w:r w:rsidR="00481D5E" w:rsidRPr="00F320A5">
        <w:rPr>
          <w:sz w:val="20"/>
          <w:lang w:val="cs-CZ"/>
        </w:rPr>
        <w:t xml:space="preserve"> M&amp;A, </w:t>
      </w:r>
      <w:r w:rsidR="00821206">
        <w:rPr>
          <w:sz w:val="20"/>
          <w:lang w:val="cs-CZ"/>
        </w:rPr>
        <w:t>právo obchodních společností, právo nemovitostí a daňové poradenství.</w:t>
      </w:r>
      <w:r w:rsidR="00481D5E" w:rsidRPr="00F320A5">
        <w:rPr>
          <w:sz w:val="20"/>
          <w:lang w:val="cs-CZ"/>
        </w:rPr>
        <w:t xml:space="preserve"> </w:t>
      </w:r>
      <w:r w:rsidR="00821206">
        <w:rPr>
          <w:sz w:val="20"/>
          <w:lang w:val="cs-CZ"/>
        </w:rPr>
        <w:t>Její specialisté poskytují rovněž služby v oblasti práva duševního vlastnictví, IT, soutěžního či pracovního práva a zastupují své klienty</w:t>
      </w:r>
      <w:r w:rsidR="00481D5E" w:rsidRPr="00F320A5">
        <w:rPr>
          <w:sz w:val="20"/>
          <w:lang w:val="cs-CZ"/>
        </w:rPr>
        <w:t xml:space="preserve"> </w:t>
      </w:r>
      <w:r w:rsidR="00821206">
        <w:rPr>
          <w:sz w:val="20"/>
          <w:lang w:val="cs-CZ"/>
        </w:rPr>
        <w:t>před českými, slovenskými</w:t>
      </w:r>
      <w:r w:rsidR="00127088">
        <w:rPr>
          <w:sz w:val="20"/>
          <w:lang w:val="cs-CZ"/>
        </w:rPr>
        <w:t>, německými</w:t>
      </w:r>
      <w:r w:rsidR="00821206">
        <w:rPr>
          <w:sz w:val="20"/>
          <w:lang w:val="cs-CZ"/>
        </w:rPr>
        <w:t xml:space="preserve"> soudy a rozhodčími soudy</w:t>
      </w:r>
      <w:r w:rsidR="00481D5E" w:rsidRPr="00F320A5">
        <w:rPr>
          <w:sz w:val="20"/>
          <w:lang w:val="cs-CZ"/>
        </w:rPr>
        <w:t xml:space="preserve">. </w:t>
      </w:r>
      <w:r w:rsidR="00821206">
        <w:rPr>
          <w:sz w:val="20"/>
          <w:lang w:val="cs-CZ"/>
        </w:rPr>
        <w:t>Další informace</w:t>
      </w:r>
      <w:r w:rsidR="00920F34">
        <w:rPr>
          <w:sz w:val="20"/>
          <w:lang w:val="cs-CZ"/>
        </w:rPr>
        <w:t xml:space="preserve"> </w:t>
      </w:r>
      <w:r w:rsidR="00821206">
        <w:rPr>
          <w:sz w:val="20"/>
          <w:lang w:val="cs-CZ"/>
        </w:rPr>
        <w:t>naleznete</w:t>
      </w:r>
      <w:r w:rsidR="00920F34">
        <w:rPr>
          <w:sz w:val="20"/>
          <w:lang w:val="cs-CZ"/>
        </w:rPr>
        <w:t xml:space="preserve"> </w:t>
      </w:r>
      <w:r w:rsidR="00821206">
        <w:rPr>
          <w:sz w:val="20"/>
          <w:lang w:val="cs-CZ"/>
        </w:rPr>
        <w:t>na</w:t>
      </w:r>
      <w:r w:rsidR="00920F34">
        <w:rPr>
          <w:sz w:val="20"/>
          <w:lang w:val="cs-CZ"/>
        </w:rPr>
        <w:t xml:space="preserve"> našich </w:t>
      </w:r>
      <w:r w:rsidR="00821206">
        <w:rPr>
          <w:sz w:val="20"/>
          <w:lang w:val="cs-CZ"/>
        </w:rPr>
        <w:t>stránkách</w:t>
      </w:r>
      <w:r w:rsidR="00920F34">
        <w:rPr>
          <w:sz w:val="20"/>
          <w:lang w:val="cs-CZ"/>
        </w:rPr>
        <w:t xml:space="preserve"> </w:t>
      </w:r>
      <w:hyperlink r:id="rId11" w:history="1">
        <w:r w:rsidR="00920F34" w:rsidRPr="00673F42">
          <w:rPr>
            <w:rStyle w:val="Hypertextovodkaz"/>
            <w:sz w:val="20"/>
            <w:lang w:val="cs-CZ"/>
          </w:rPr>
          <w:t>www.bpv-bp.com.</w:t>
        </w:r>
      </w:hyperlink>
    </w:p>
    <w:p w14:paraId="60D298C3" w14:textId="77777777" w:rsidR="00F13290" w:rsidRPr="00F320A5" w:rsidRDefault="009A7680" w:rsidP="00740711">
      <w:pPr>
        <w:spacing w:line="280" w:lineRule="exact"/>
        <w:rPr>
          <w:sz w:val="20"/>
          <w:lang w:val="cs-CZ"/>
        </w:rPr>
      </w:pPr>
      <w:r w:rsidRPr="00F320A5">
        <w:rPr>
          <w:b/>
          <w:sz w:val="20"/>
          <w:lang w:val="cs-CZ"/>
        </w:rPr>
        <w:t>Kontakt:</w:t>
      </w:r>
      <w:r w:rsidRPr="00F320A5">
        <w:rPr>
          <w:sz w:val="20"/>
          <w:lang w:val="cs-CZ"/>
        </w:rPr>
        <w:br/>
      </w:r>
      <w:r w:rsidR="00E57C07" w:rsidRPr="00E57C07">
        <w:rPr>
          <w:b/>
          <w:color w:val="D31145"/>
          <w:sz w:val="20"/>
          <w:lang w:val="cs-CZ"/>
        </w:rPr>
        <w:t>bpv</w:t>
      </w:r>
      <w:r w:rsidR="00E57C07" w:rsidRPr="009D58D7">
        <w:rPr>
          <w:b/>
          <w:sz w:val="20"/>
          <w:lang w:val="de-DE"/>
        </w:rPr>
        <w:t xml:space="preserve"> </w:t>
      </w:r>
      <w:r w:rsidR="009D58D7" w:rsidRPr="009D58D7">
        <w:rPr>
          <w:b/>
          <w:sz w:val="20"/>
          <w:lang w:val="de-DE"/>
        </w:rPr>
        <w:t>BRAUN PARTNERS</w:t>
      </w:r>
      <w:r w:rsidR="009D58D7" w:rsidRPr="009D58D7">
        <w:rPr>
          <w:sz w:val="20"/>
          <w:lang w:val="de-DE"/>
        </w:rPr>
        <w:t xml:space="preserve"> </w:t>
      </w:r>
      <w:r w:rsidRPr="00F320A5">
        <w:rPr>
          <w:sz w:val="20"/>
          <w:lang w:val="cs-CZ"/>
        </w:rPr>
        <w:t>s.r.o.</w:t>
      </w:r>
      <w:r w:rsidRPr="00F320A5">
        <w:rPr>
          <w:sz w:val="20"/>
          <w:lang w:val="cs-CZ"/>
        </w:rPr>
        <w:br/>
      </w:r>
      <w:r w:rsidR="007A2E80">
        <w:rPr>
          <w:sz w:val="20"/>
          <w:lang w:val="cs-CZ"/>
        </w:rPr>
        <w:t>Mgr. Sandra Kvasnicová</w:t>
      </w:r>
      <w:r w:rsidR="00097F9C">
        <w:rPr>
          <w:sz w:val="20"/>
          <w:lang w:val="cs-CZ"/>
        </w:rPr>
        <w:t xml:space="preserve">, </w:t>
      </w:r>
      <w:proofErr w:type="spellStart"/>
      <w:r w:rsidR="007A2E80">
        <w:rPr>
          <w:sz w:val="20"/>
          <w:lang w:val="cs-CZ"/>
        </w:rPr>
        <w:t>Head</w:t>
      </w:r>
      <w:proofErr w:type="spellEnd"/>
      <w:r w:rsidR="007A2E80">
        <w:rPr>
          <w:sz w:val="20"/>
          <w:lang w:val="cs-CZ"/>
        </w:rPr>
        <w:t xml:space="preserve"> of Marketing</w:t>
      </w:r>
      <w:r w:rsidR="003D581C" w:rsidRPr="003D581C">
        <w:rPr>
          <w:sz w:val="20"/>
          <w:lang w:val="cs-CZ"/>
        </w:rPr>
        <w:br/>
      </w:r>
      <w:hyperlink r:id="rId12" w:history="1">
        <w:r w:rsidR="007A2E80" w:rsidRPr="00141632">
          <w:rPr>
            <w:rStyle w:val="Hypertextovodkaz"/>
            <w:sz w:val="20"/>
            <w:lang w:val="cs-CZ"/>
          </w:rPr>
          <w:t>sandra.kvasnicova@bpv-bp.com</w:t>
        </w:r>
      </w:hyperlink>
      <w:r w:rsidR="003D581C" w:rsidRPr="003D581C">
        <w:rPr>
          <w:sz w:val="20"/>
          <w:lang w:val="cs-CZ"/>
        </w:rPr>
        <w:br/>
      </w:r>
      <w:r w:rsidRPr="00F320A5">
        <w:rPr>
          <w:sz w:val="20"/>
          <w:lang w:val="cs-CZ"/>
        </w:rPr>
        <w:t xml:space="preserve">tel: </w:t>
      </w:r>
      <w:r w:rsidR="007A2E80">
        <w:rPr>
          <w:sz w:val="20"/>
          <w:lang w:val="cs-CZ"/>
        </w:rPr>
        <w:t xml:space="preserve">+420 </w:t>
      </w:r>
      <w:r w:rsidRPr="00F320A5">
        <w:rPr>
          <w:sz w:val="20"/>
          <w:lang w:val="cs-CZ"/>
        </w:rPr>
        <w:t>224 490</w:t>
      </w:r>
      <w:r w:rsidR="00BE4A10" w:rsidRPr="00F320A5">
        <w:rPr>
          <w:sz w:val="20"/>
          <w:lang w:val="cs-CZ"/>
        </w:rPr>
        <w:t> </w:t>
      </w:r>
      <w:r w:rsidRPr="00F320A5">
        <w:rPr>
          <w:sz w:val="20"/>
          <w:lang w:val="cs-CZ"/>
        </w:rPr>
        <w:t>000</w:t>
      </w:r>
    </w:p>
    <w:sectPr w:rsidR="00F13290" w:rsidRPr="00F320A5" w:rsidSect="004D1C3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276" w:left="1440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9CFAB" w14:textId="77777777" w:rsidR="00B46D80" w:rsidRDefault="00B46D80" w:rsidP="00367A87">
      <w:pPr>
        <w:spacing w:before="0" w:line="240" w:lineRule="auto"/>
      </w:pPr>
      <w:r>
        <w:separator/>
      </w:r>
    </w:p>
  </w:endnote>
  <w:endnote w:type="continuationSeparator" w:id="0">
    <w:p w14:paraId="40CC5EF0" w14:textId="77777777" w:rsidR="00B46D80" w:rsidRDefault="00B46D80" w:rsidP="00367A8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6DD1D" w14:textId="77777777" w:rsidR="007261FF" w:rsidRDefault="007261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6" w:type="dxa"/>
      <w:tblCellSpacing w:w="0" w:type="auto"/>
      <w:tblCellMar>
        <w:right w:w="0" w:type="dxa"/>
      </w:tblCellMar>
      <w:tblLook w:val="01E0" w:firstRow="1" w:lastRow="1" w:firstColumn="1" w:lastColumn="1" w:noHBand="0" w:noVBand="0"/>
    </w:tblPr>
    <w:tblGrid>
      <w:gridCol w:w="6345"/>
      <w:gridCol w:w="3261"/>
    </w:tblGrid>
    <w:tr w:rsidR="007261FF" w:rsidRPr="005E7DED" w14:paraId="0C4952E0" w14:textId="77777777" w:rsidTr="007261FF">
      <w:trPr>
        <w:trHeight w:val="430"/>
        <w:tblCellSpacing w:w="0" w:type="auto"/>
      </w:trPr>
      <w:tc>
        <w:tcPr>
          <w:tcW w:w="6345" w:type="dxa"/>
        </w:tcPr>
        <w:p w14:paraId="255904B6" w14:textId="77777777" w:rsidR="007261FF" w:rsidRPr="003741AE" w:rsidRDefault="007261FF" w:rsidP="007261FF">
          <w:pPr>
            <w:pStyle w:val="zkladn"/>
            <w:spacing w:before="0" w:after="0" w:line="180" w:lineRule="atLeast"/>
            <w:rPr>
              <w:sz w:val="16"/>
              <w:szCs w:val="16"/>
            </w:rPr>
          </w:pPr>
          <w:r>
            <w:rPr>
              <w:noProof/>
              <w:sz w:val="12"/>
              <w:szCs w:val="12"/>
              <w:lang w:eastAsia="cs-CZ"/>
            </w:rPr>
            <w:drawing>
              <wp:inline distT="0" distB="0" distL="0" distR="0" wp14:anchorId="68478E90" wp14:editId="1C351098">
                <wp:extent cx="2409231" cy="360000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apati_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923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</w:tcPr>
        <w:p w14:paraId="6316923B" w14:textId="77777777" w:rsidR="007261FF" w:rsidRPr="003741AE" w:rsidRDefault="007261FF" w:rsidP="007261FF">
          <w:pPr>
            <w:pStyle w:val="Zpat"/>
            <w:spacing w:line="180" w:lineRule="atLeast"/>
            <w:ind w:right="-2835"/>
            <w:jc w:val="both"/>
            <w:rPr>
              <w:sz w:val="12"/>
              <w:szCs w:val="12"/>
              <w:lang w:val="cs-CZ"/>
            </w:rPr>
          </w:pPr>
          <w:r w:rsidRPr="003741AE">
            <w:rPr>
              <w:sz w:val="12"/>
              <w:szCs w:val="12"/>
              <w:lang w:val="cs-CZ"/>
            </w:rPr>
            <w:t>IČ: 27948994, DIČ: CZ27948994</w:t>
          </w:r>
        </w:p>
        <w:p w14:paraId="73F4D2A6" w14:textId="77777777" w:rsidR="007261FF" w:rsidRPr="003741AE" w:rsidRDefault="007261FF" w:rsidP="007261FF">
          <w:pPr>
            <w:pStyle w:val="Zpat"/>
            <w:spacing w:line="180" w:lineRule="atLeast"/>
            <w:ind w:right="-2835"/>
            <w:jc w:val="both"/>
            <w:rPr>
              <w:sz w:val="12"/>
              <w:szCs w:val="12"/>
              <w:lang w:val="cs-CZ"/>
            </w:rPr>
          </w:pPr>
          <w:r w:rsidRPr="003741AE">
            <w:rPr>
              <w:sz w:val="12"/>
              <w:szCs w:val="12"/>
              <w:lang w:val="cs-CZ"/>
            </w:rPr>
            <w:t xml:space="preserve">zapsaná v obchodním rejstříku vedeném </w:t>
          </w:r>
        </w:p>
        <w:p w14:paraId="124215C1" w14:textId="77777777" w:rsidR="007261FF" w:rsidRPr="003741AE" w:rsidRDefault="007261FF" w:rsidP="007261FF">
          <w:pPr>
            <w:pStyle w:val="zkladn"/>
            <w:spacing w:before="0" w:after="0" w:line="180" w:lineRule="atLeast"/>
            <w:ind w:right="142"/>
            <w:rPr>
              <w:sz w:val="16"/>
              <w:szCs w:val="16"/>
            </w:rPr>
          </w:pPr>
          <w:r w:rsidRPr="003741AE">
            <w:rPr>
              <w:sz w:val="12"/>
              <w:szCs w:val="12"/>
            </w:rPr>
            <w:t>Městským soudem v Praze, oddíl C, vložka č. 128700</w:t>
          </w:r>
        </w:p>
      </w:tc>
    </w:tr>
  </w:tbl>
  <w:p w14:paraId="73FD12F8" w14:textId="77777777" w:rsidR="007261FF" w:rsidRPr="001E34F7" w:rsidRDefault="007261FF">
    <w:pPr>
      <w:pStyle w:val="Zpat"/>
      <w:rPr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BD3DC" w14:textId="77777777" w:rsidR="007261FF" w:rsidRDefault="007261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06F00" w14:textId="77777777" w:rsidR="00B46D80" w:rsidRDefault="00B46D80" w:rsidP="00367A87">
      <w:pPr>
        <w:spacing w:before="0" w:line="240" w:lineRule="auto"/>
      </w:pPr>
      <w:r>
        <w:separator/>
      </w:r>
    </w:p>
  </w:footnote>
  <w:footnote w:type="continuationSeparator" w:id="0">
    <w:p w14:paraId="7765DA18" w14:textId="77777777" w:rsidR="00B46D80" w:rsidRDefault="00B46D80" w:rsidP="00367A8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3F032" w14:textId="77777777" w:rsidR="007261FF" w:rsidRDefault="007261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8D643" w14:textId="77777777" w:rsidR="007261FF" w:rsidRDefault="007261FF">
    <w:pPr>
      <w:pStyle w:val="Zhlav"/>
    </w:pPr>
    <w:r>
      <w:rPr>
        <w:noProof/>
        <w:lang w:val="cs-CZ" w:eastAsia="cs-CZ"/>
      </w:rPr>
      <w:drawing>
        <wp:inline distT="0" distB="0" distL="0" distR="0" wp14:anchorId="23527EDC" wp14:editId="2ED97AC4">
          <wp:extent cx="2004060" cy="3048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pv Braun Partne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2E819" w14:textId="77777777" w:rsidR="007261FF" w:rsidRDefault="007261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32562"/>
    <w:multiLevelType w:val="hybridMultilevel"/>
    <w:tmpl w:val="CA76C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D1F97"/>
    <w:multiLevelType w:val="hybridMultilevel"/>
    <w:tmpl w:val="9A2C00B4"/>
    <w:lvl w:ilvl="0" w:tplc="5540E3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368BA"/>
    <w:multiLevelType w:val="multilevel"/>
    <w:tmpl w:val="F5C0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013FE7"/>
    <w:multiLevelType w:val="hybridMultilevel"/>
    <w:tmpl w:val="8DCC4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E458E"/>
    <w:multiLevelType w:val="hybridMultilevel"/>
    <w:tmpl w:val="4D32DCB4"/>
    <w:lvl w:ilvl="0" w:tplc="B6B260B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A87"/>
    <w:rsid w:val="00014137"/>
    <w:rsid w:val="00015892"/>
    <w:rsid w:val="0002456C"/>
    <w:rsid w:val="000259A1"/>
    <w:rsid w:val="00026826"/>
    <w:rsid w:val="0003284D"/>
    <w:rsid w:val="00043573"/>
    <w:rsid w:val="00043711"/>
    <w:rsid w:val="000459EF"/>
    <w:rsid w:val="00052297"/>
    <w:rsid w:val="000603F1"/>
    <w:rsid w:val="00061665"/>
    <w:rsid w:val="00064B3B"/>
    <w:rsid w:val="00072753"/>
    <w:rsid w:val="00072823"/>
    <w:rsid w:val="00073C6E"/>
    <w:rsid w:val="000772E8"/>
    <w:rsid w:val="0008025D"/>
    <w:rsid w:val="000821A3"/>
    <w:rsid w:val="00086066"/>
    <w:rsid w:val="000923FC"/>
    <w:rsid w:val="000944E8"/>
    <w:rsid w:val="00095516"/>
    <w:rsid w:val="00097457"/>
    <w:rsid w:val="00097C32"/>
    <w:rsid w:val="00097F9C"/>
    <w:rsid w:val="000A0339"/>
    <w:rsid w:val="000B3F88"/>
    <w:rsid w:val="000C04E8"/>
    <w:rsid w:val="000C0CFB"/>
    <w:rsid w:val="000C39D0"/>
    <w:rsid w:val="000C5BD9"/>
    <w:rsid w:val="000D5F6F"/>
    <w:rsid w:val="000E2A7D"/>
    <w:rsid w:val="000F6595"/>
    <w:rsid w:val="00100E64"/>
    <w:rsid w:val="00102B08"/>
    <w:rsid w:val="00106B58"/>
    <w:rsid w:val="00114E4F"/>
    <w:rsid w:val="001227D0"/>
    <w:rsid w:val="00127088"/>
    <w:rsid w:val="001302E7"/>
    <w:rsid w:val="00145597"/>
    <w:rsid w:val="00147107"/>
    <w:rsid w:val="001564B5"/>
    <w:rsid w:val="001610A1"/>
    <w:rsid w:val="00171431"/>
    <w:rsid w:val="00175F37"/>
    <w:rsid w:val="00176146"/>
    <w:rsid w:val="0018012D"/>
    <w:rsid w:val="00182F49"/>
    <w:rsid w:val="0018496D"/>
    <w:rsid w:val="00193CFA"/>
    <w:rsid w:val="001961DF"/>
    <w:rsid w:val="00196357"/>
    <w:rsid w:val="001A315A"/>
    <w:rsid w:val="001B0641"/>
    <w:rsid w:val="001B50FF"/>
    <w:rsid w:val="001B5D53"/>
    <w:rsid w:val="001C1440"/>
    <w:rsid w:val="001C3CD2"/>
    <w:rsid w:val="001D04AD"/>
    <w:rsid w:val="001E34F7"/>
    <w:rsid w:val="001E535A"/>
    <w:rsid w:val="002031E0"/>
    <w:rsid w:val="00204D45"/>
    <w:rsid w:val="0021169D"/>
    <w:rsid w:val="00224B60"/>
    <w:rsid w:val="00232B48"/>
    <w:rsid w:val="00234B69"/>
    <w:rsid w:val="00240E98"/>
    <w:rsid w:val="0024542D"/>
    <w:rsid w:val="00251C78"/>
    <w:rsid w:val="00263681"/>
    <w:rsid w:val="002660F0"/>
    <w:rsid w:val="00267F58"/>
    <w:rsid w:val="00273C55"/>
    <w:rsid w:val="002878C1"/>
    <w:rsid w:val="00295ECB"/>
    <w:rsid w:val="0029685D"/>
    <w:rsid w:val="002A7E82"/>
    <w:rsid w:val="002B59B4"/>
    <w:rsid w:val="002B6445"/>
    <w:rsid w:val="002B7E34"/>
    <w:rsid w:val="002D7CD3"/>
    <w:rsid w:val="0030652C"/>
    <w:rsid w:val="003163E5"/>
    <w:rsid w:val="00336247"/>
    <w:rsid w:val="003377E7"/>
    <w:rsid w:val="00343BBF"/>
    <w:rsid w:val="00343D54"/>
    <w:rsid w:val="00350E56"/>
    <w:rsid w:val="0036408B"/>
    <w:rsid w:val="003655B2"/>
    <w:rsid w:val="003658D2"/>
    <w:rsid w:val="00367A87"/>
    <w:rsid w:val="003739A1"/>
    <w:rsid w:val="0038625A"/>
    <w:rsid w:val="00393F0E"/>
    <w:rsid w:val="00394C44"/>
    <w:rsid w:val="00394CC1"/>
    <w:rsid w:val="0039532E"/>
    <w:rsid w:val="003A1B09"/>
    <w:rsid w:val="003B3B34"/>
    <w:rsid w:val="003D581C"/>
    <w:rsid w:val="003D7DC4"/>
    <w:rsid w:val="003E3FC8"/>
    <w:rsid w:val="003E546F"/>
    <w:rsid w:val="003E5BC3"/>
    <w:rsid w:val="003F5DCB"/>
    <w:rsid w:val="003F6EDD"/>
    <w:rsid w:val="003F7E15"/>
    <w:rsid w:val="00402EDC"/>
    <w:rsid w:val="00411A01"/>
    <w:rsid w:val="00414D6D"/>
    <w:rsid w:val="00415613"/>
    <w:rsid w:val="00416A2C"/>
    <w:rsid w:val="00422776"/>
    <w:rsid w:val="00422902"/>
    <w:rsid w:val="00430564"/>
    <w:rsid w:val="0043376E"/>
    <w:rsid w:val="0043389E"/>
    <w:rsid w:val="00435EF6"/>
    <w:rsid w:val="00444924"/>
    <w:rsid w:val="004467E7"/>
    <w:rsid w:val="0045660C"/>
    <w:rsid w:val="00456F34"/>
    <w:rsid w:val="00461A12"/>
    <w:rsid w:val="00464446"/>
    <w:rsid w:val="00464B25"/>
    <w:rsid w:val="00481D5E"/>
    <w:rsid w:val="004A0BBA"/>
    <w:rsid w:val="004A0DE2"/>
    <w:rsid w:val="004D05E6"/>
    <w:rsid w:val="004D1C3A"/>
    <w:rsid w:val="004D3AE8"/>
    <w:rsid w:val="004D3B6C"/>
    <w:rsid w:val="004D4AE9"/>
    <w:rsid w:val="004F1ADE"/>
    <w:rsid w:val="004F1B71"/>
    <w:rsid w:val="00506AC0"/>
    <w:rsid w:val="00525B85"/>
    <w:rsid w:val="00536B1F"/>
    <w:rsid w:val="00542143"/>
    <w:rsid w:val="005425E5"/>
    <w:rsid w:val="00543F56"/>
    <w:rsid w:val="005459C9"/>
    <w:rsid w:val="00547E81"/>
    <w:rsid w:val="00552603"/>
    <w:rsid w:val="005530D3"/>
    <w:rsid w:val="00553BDC"/>
    <w:rsid w:val="00554641"/>
    <w:rsid w:val="00560449"/>
    <w:rsid w:val="005619E4"/>
    <w:rsid w:val="00562117"/>
    <w:rsid w:val="0056576B"/>
    <w:rsid w:val="00566130"/>
    <w:rsid w:val="005715B2"/>
    <w:rsid w:val="00586BA6"/>
    <w:rsid w:val="00590EAF"/>
    <w:rsid w:val="005927F1"/>
    <w:rsid w:val="00593A07"/>
    <w:rsid w:val="005A3187"/>
    <w:rsid w:val="005A64D2"/>
    <w:rsid w:val="005A6AB2"/>
    <w:rsid w:val="005B32DA"/>
    <w:rsid w:val="005B4442"/>
    <w:rsid w:val="005B6D5C"/>
    <w:rsid w:val="005E2951"/>
    <w:rsid w:val="005E6BD8"/>
    <w:rsid w:val="005E7DED"/>
    <w:rsid w:val="005F60BF"/>
    <w:rsid w:val="00603F97"/>
    <w:rsid w:val="006041C1"/>
    <w:rsid w:val="00612650"/>
    <w:rsid w:val="006143D7"/>
    <w:rsid w:val="00617CFF"/>
    <w:rsid w:val="00621A1D"/>
    <w:rsid w:val="00622BD9"/>
    <w:rsid w:val="006230BA"/>
    <w:rsid w:val="00626808"/>
    <w:rsid w:val="006276DB"/>
    <w:rsid w:val="006330DF"/>
    <w:rsid w:val="00634BB5"/>
    <w:rsid w:val="006636CA"/>
    <w:rsid w:val="006751CB"/>
    <w:rsid w:val="00686E3C"/>
    <w:rsid w:val="00693BE2"/>
    <w:rsid w:val="00697627"/>
    <w:rsid w:val="006A78FA"/>
    <w:rsid w:val="006C1D0B"/>
    <w:rsid w:val="006C220C"/>
    <w:rsid w:val="006C586F"/>
    <w:rsid w:val="006C779B"/>
    <w:rsid w:val="006D1678"/>
    <w:rsid w:val="006D171F"/>
    <w:rsid w:val="006D4F7B"/>
    <w:rsid w:val="006D5FDE"/>
    <w:rsid w:val="006E2524"/>
    <w:rsid w:val="006F42D5"/>
    <w:rsid w:val="006F5268"/>
    <w:rsid w:val="00702750"/>
    <w:rsid w:val="00704A36"/>
    <w:rsid w:val="00711A08"/>
    <w:rsid w:val="00722B27"/>
    <w:rsid w:val="007261FF"/>
    <w:rsid w:val="00735C8C"/>
    <w:rsid w:val="0073720D"/>
    <w:rsid w:val="00740711"/>
    <w:rsid w:val="007442F2"/>
    <w:rsid w:val="00750E00"/>
    <w:rsid w:val="00752FC2"/>
    <w:rsid w:val="00756DE2"/>
    <w:rsid w:val="007631ED"/>
    <w:rsid w:val="007747D9"/>
    <w:rsid w:val="007940C6"/>
    <w:rsid w:val="007A1DAD"/>
    <w:rsid w:val="007A2E80"/>
    <w:rsid w:val="007A30A7"/>
    <w:rsid w:val="007B2E64"/>
    <w:rsid w:val="007B41CA"/>
    <w:rsid w:val="007B7510"/>
    <w:rsid w:val="007C1E04"/>
    <w:rsid w:val="007C4C15"/>
    <w:rsid w:val="007D152C"/>
    <w:rsid w:val="007D421F"/>
    <w:rsid w:val="007D69B6"/>
    <w:rsid w:val="007E0935"/>
    <w:rsid w:val="007F62AB"/>
    <w:rsid w:val="008000A4"/>
    <w:rsid w:val="0080011D"/>
    <w:rsid w:val="008058AE"/>
    <w:rsid w:val="00821206"/>
    <w:rsid w:val="008215C2"/>
    <w:rsid w:val="00823FC2"/>
    <w:rsid w:val="00834004"/>
    <w:rsid w:val="0086325E"/>
    <w:rsid w:val="00871916"/>
    <w:rsid w:val="008752E4"/>
    <w:rsid w:val="0087718B"/>
    <w:rsid w:val="00886C02"/>
    <w:rsid w:val="00895524"/>
    <w:rsid w:val="008973E4"/>
    <w:rsid w:val="008A46D1"/>
    <w:rsid w:val="008A591B"/>
    <w:rsid w:val="008A67BB"/>
    <w:rsid w:val="008A7DE0"/>
    <w:rsid w:val="008B5738"/>
    <w:rsid w:val="008C14B3"/>
    <w:rsid w:val="008C440E"/>
    <w:rsid w:val="008C5640"/>
    <w:rsid w:val="008C6F9D"/>
    <w:rsid w:val="008D2045"/>
    <w:rsid w:val="008D518F"/>
    <w:rsid w:val="008E5A90"/>
    <w:rsid w:val="009065E5"/>
    <w:rsid w:val="00906AF2"/>
    <w:rsid w:val="00911E37"/>
    <w:rsid w:val="00914720"/>
    <w:rsid w:val="00920F34"/>
    <w:rsid w:val="00941616"/>
    <w:rsid w:val="0094398E"/>
    <w:rsid w:val="009531C5"/>
    <w:rsid w:val="00954DE2"/>
    <w:rsid w:val="00973B11"/>
    <w:rsid w:val="00981F44"/>
    <w:rsid w:val="00982C11"/>
    <w:rsid w:val="00986DEA"/>
    <w:rsid w:val="00991D30"/>
    <w:rsid w:val="00993452"/>
    <w:rsid w:val="009A7680"/>
    <w:rsid w:val="009B0DF1"/>
    <w:rsid w:val="009B3640"/>
    <w:rsid w:val="009B40D2"/>
    <w:rsid w:val="009C1376"/>
    <w:rsid w:val="009C225D"/>
    <w:rsid w:val="009C55C3"/>
    <w:rsid w:val="009C796D"/>
    <w:rsid w:val="009D0ED2"/>
    <w:rsid w:val="009D1CB0"/>
    <w:rsid w:val="009D58D7"/>
    <w:rsid w:val="009E384D"/>
    <w:rsid w:val="009E4A97"/>
    <w:rsid w:val="009F39A7"/>
    <w:rsid w:val="00A102EB"/>
    <w:rsid w:val="00A105EB"/>
    <w:rsid w:val="00A11A16"/>
    <w:rsid w:val="00A163CE"/>
    <w:rsid w:val="00A330C9"/>
    <w:rsid w:val="00A356B1"/>
    <w:rsid w:val="00A36ACC"/>
    <w:rsid w:val="00A37457"/>
    <w:rsid w:val="00A417C7"/>
    <w:rsid w:val="00A4741C"/>
    <w:rsid w:val="00A53955"/>
    <w:rsid w:val="00A60E5B"/>
    <w:rsid w:val="00A70435"/>
    <w:rsid w:val="00A76DD9"/>
    <w:rsid w:val="00A8081A"/>
    <w:rsid w:val="00A81734"/>
    <w:rsid w:val="00A91BD0"/>
    <w:rsid w:val="00A95D6A"/>
    <w:rsid w:val="00AA356B"/>
    <w:rsid w:val="00AA5A0A"/>
    <w:rsid w:val="00AA5FDA"/>
    <w:rsid w:val="00AC79B3"/>
    <w:rsid w:val="00AD4CCE"/>
    <w:rsid w:val="00AE7C92"/>
    <w:rsid w:val="00AF2F00"/>
    <w:rsid w:val="00B00432"/>
    <w:rsid w:val="00B02849"/>
    <w:rsid w:val="00B06443"/>
    <w:rsid w:val="00B17237"/>
    <w:rsid w:val="00B173F8"/>
    <w:rsid w:val="00B24E44"/>
    <w:rsid w:val="00B32EF9"/>
    <w:rsid w:val="00B46D80"/>
    <w:rsid w:val="00B5681C"/>
    <w:rsid w:val="00B60050"/>
    <w:rsid w:val="00B62FDA"/>
    <w:rsid w:val="00B72C4D"/>
    <w:rsid w:val="00B769C2"/>
    <w:rsid w:val="00B77FC2"/>
    <w:rsid w:val="00B807CF"/>
    <w:rsid w:val="00B8609E"/>
    <w:rsid w:val="00B943C6"/>
    <w:rsid w:val="00BA5422"/>
    <w:rsid w:val="00BB2EF2"/>
    <w:rsid w:val="00BB6A56"/>
    <w:rsid w:val="00BC24E7"/>
    <w:rsid w:val="00BC4A55"/>
    <w:rsid w:val="00BD11AC"/>
    <w:rsid w:val="00BD2BAE"/>
    <w:rsid w:val="00BE4A10"/>
    <w:rsid w:val="00BE63C1"/>
    <w:rsid w:val="00C10109"/>
    <w:rsid w:val="00C106A9"/>
    <w:rsid w:val="00C10A83"/>
    <w:rsid w:val="00C136DC"/>
    <w:rsid w:val="00C17664"/>
    <w:rsid w:val="00C42F08"/>
    <w:rsid w:val="00C50B94"/>
    <w:rsid w:val="00C56376"/>
    <w:rsid w:val="00C6188A"/>
    <w:rsid w:val="00C67474"/>
    <w:rsid w:val="00C879EA"/>
    <w:rsid w:val="00C9030A"/>
    <w:rsid w:val="00C90C38"/>
    <w:rsid w:val="00C93615"/>
    <w:rsid w:val="00CA08E9"/>
    <w:rsid w:val="00CB5109"/>
    <w:rsid w:val="00CB6D44"/>
    <w:rsid w:val="00CC323A"/>
    <w:rsid w:val="00CD1F98"/>
    <w:rsid w:val="00CF1C7C"/>
    <w:rsid w:val="00CF466E"/>
    <w:rsid w:val="00D045B1"/>
    <w:rsid w:val="00D04BBA"/>
    <w:rsid w:val="00D0617F"/>
    <w:rsid w:val="00D126A9"/>
    <w:rsid w:val="00D13304"/>
    <w:rsid w:val="00D17FE2"/>
    <w:rsid w:val="00D22C17"/>
    <w:rsid w:val="00D24057"/>
    <w:rsid w:val="00D24D17"/>
    <w:rsid w:val="00D26D0F"/>
    <w:rsid w:val="00D3392C"/>
    <w:rsid w:val="00D345D7"/>
    <w:rsid w:val="00D52AD4"/>
    <w:rsid w:val="00D61BCA"/>
    <w:rsid w:val="00D64330"/>
    <w:rsid w:val="00D64EBF"/>
    <w:rsid w:val="00D707B2"/>
    <w:rsid w:val="00D91E4C"/>
    <w:rsid w:val="00DA6E15"/>
    <w:rsid w:val="00DB0FA9"/>
    <w:rsid w:val="00DB2B40"/>
    <w:rsid w:val="00DB67EA"/>
    <w:rsid w:val="00DC1832"/>
    <w:rsid w:val="00DC36DA"/>
    <w:rsid w:val="00DD378D"/>
    <w:rsid w:val="00DE39CC"/>
    <w:rsid w:val="00DE5667"/>
    <w:rsid w:val="00DF1EAE"/>
    <w:rsid w:val="00E029F1"/>
    <w:rsid w:val="00E02BAF"/>
    <w:rsid w:val="00E1169C"/>
    <w:rsid w:val="00E12054"/>
    <w:rsid w:val="00E12414"/>
    <w:rsid w:val="00E1502B"/>
    <w:rsid w:val="00E17E31"/>
    <w:rsid w:val="00E24A0B"/>
    <w:rsid w:val="00E2522A"/>
    <w:rsid w:val="00E26050"/>
    <w:rsid w:val="00E270DF"/>
    <w:rsid w:val="00E42DF0"/>
    <w:rsid w:val="00E560AF"/>
    <w:rsid w:val="00E57C07"/>
    <w:rsid w:val="00E63E23"/>
    <w:rsid w:val="00E7365D"/>
    <w:rsid w:val="00E910F6"/>
    <w:rsid w:val="00E93908"/>
    <w:rsid w:val="00EA1237"/>
    <w:rsid w:val="00EA50E0"/>
    <w:rsid w:val="00EA6AE7"/>
    <w:rsid w:val="00EC314E"/>
    <w:rsid w:val="00EC34A9"/>
    <w:rsid w:val="00ED16F9"/>
    <w:rsid w:val="00EE1D54"/>
    <w:rsid w:val="00EE27B8"/>
    <w:rsid w:val="00EE6F15"/>
    <w:rsid w:val="00EF20C9"/>
    <w:rsid w:val="00EF3D8F"/>
    <w:rsid w:val="00F00AF4"/>
    <w:rsid w:val="00F05DC2"/>
    <w:rsid w:val="00F074D3"/>
    <w:rsid w:val="00F13290"/>
    <w:rsid w:val="00F14059"/>
    <w:rsid w:val="00F260C3"/>
    <w:rsid w:val="00F30AB5"/>
    <w:rsid w:val="00F30E88"/>
    <w:rsid w:val="00F31BB9"/>
    <w:rsid w:val="00F320A5"/>
    <w:rsid w:val="00F355BF"/>
    <w:rsid w:val="00F433AD"/>
    <w:rsid w:val="00F454F2"/>
    <w:rsid w:val="00F47C1D"/>
    <w:rsid w:val="00F57F70"/>
    <w:rsid w:val="00F73E01"/>
    <w:rsid w:val="00F74977"/>
    <w:rsid w:val="00F74D72"/>
    <w:rsid w:val="00F7510E"/>
    <w:rsid w:val="00F8032E"/>
    <w:rsid w:val="00F81D5A"/>
    <w:rsid w:val="00F84E73"/>
    <w:rsid w:val="00F925E3"/>
    <w:rsid w:val="00F95A91"/>
    <w:rsid w:val="00FA0D6C"/>
    <w:rsid w:val="00FA351A"/>
    <w:rsid w:val="00FA5B23"/>
    <w:rsid w:val="00FA75F7"/>
    <w:rsid w:val="00FB3A4D"/>
    <w:rsid w:val="00FB52C3"/>
    <w:rsid w:val="00FB6537"/>
    <w:rsid w:val="00FC16AA"/>
    <w:rsid w:val="00FE34F9"/>
    <w:rsid w:val="00FE3815"/>
    <w:rsid w:val="00FE7C39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74457"/>
  <w15:docId w15:val="{24D07425-FDE1-4626-B4E7-F3688B4B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7A87"/>
    <w:pPr>
      <w:spacing w:before="200" w:after="0" w:line="320" w:lineRule="atLeast"/>
    </w:pPr>
    <w:rPr>
      <w:rFonts w:ascii="Arial" w:eastAsia="Calibri" w:hAnsi="Arial" w:cs="Arial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7A8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7A87"/>
    <w:rPr>
      <w:rFonts w:ascii="Tahoma" w:eastAsia="Calibri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uiPriority w:val="99"/>
    <w:unhideWhenUsed/>
    <w:rsid w:val="00367A8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7A87"/>
    <w:rPr>
      <w:rFonts w:ascii="Arial" w:eastAsia="Calibri" w:hAnsi="Arial" w:cs="Arial"/>
      <w:szCs w:val="20"/>
      <w:lang w:val="en-US"/>
    </w:rPr>
  </w:style>
  <w:style w:type="paragraph" w:styleId="Zpat">
    <w:name w:val="footer"/>
    <w:basedOn w:val="Normln"/>
    <w:link w:val="ZpatChar"/>
    <w:unhideWhenUsed/>
    <w:rsid w:val="00367A8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7A87"/>
    <w:rPr>
      <w:rFonts w:ascii="Arial" w:eastAsia="Calibri" w:hAnsi="Arial" w:cs="Arial"/>
      <w:szCs w:val="20"/>
      <w:lang w:val="en-US"/>
    </w:rPr>
  </w:style>
  <w:style w:type="paragraph" w:styleId="Zkladntext">
    <w:name w:val="Body Text"/>
    <w:basedOn w:val="Normln"/>
    <w:link w:val="ZkladntextChar"/>
    <w:rsid w:val="00F31BB9"/>
    <w:pPr>
      <w:spacing w:before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31BB9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9030A"/>
    <w:rPr>
      <w:color w:val="0000FF" w:themeColor="hyperlink"/>
      <w:u w:val="single"/>
    </w:rPr>
  </w:style>
  <w:style w:type="paragraph" w:customStyle="1" w:styleId="bpvzkladn">
    <w:name w:val="bpv základní"/>
    <w:basedOn w:val="Normln"/>
    <w:qFormat/>
    <w:locked/>
    <w:rsid w:val="00F30E88"/>
    <w:pPr>
      <w:widowControl w:val="0"/>
      <w:spacing w:before="240" w:after="240"/>
      <w:jc w:val="both"/>
    </w:pPr>
    <w:rPr>
      <w:rFonts w:eastAsia="Times New Roman"/>
      <w:szCs w:val="22"/>
      <w:lang w:val="cs-CZ" w:eastAsia="zh-CN"/>
    </w:rPr>
  </w:style>
  <w:style w:type="paragraph" w:customStyle="1" w:styleId="Default">
    <w:name w:val="Default"/>
    <w:rsid w:val="00F433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E0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0935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0935"/>
    <w:rPr>
      <w:rFonts w:ascii="Arial" w:eastAsia="Calibri" w:hAnsi="Arial" w:cs="Arial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0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0935"/>
    <w:rPr>
      <w:rFonts w:ascii="Arial" w:eastAsia="Calibri" w:hAnsi="Arial" w:cs="Arial"/>
      <w:b/>
      <w:bCs/>
      <w:sz w:val="20"/>
      <w:szCs w:val="20"/>
      <w:lang w:val="en-US"/>
    </w:rPr>
  </w:style>
  <w:style w:type="paragraph" w:customStyle="1" w:styleId="RH">
    <w:name w:val="RH"/>
    <w:basedOn w:val="Normln"/>
    <w:locked/>
    <w:rsid w:val="00064B3B"/>
    <w:pPr>
      <w:spacing w:before="0" w:line="240" w:lineRule="auto"/>
      <w:ind w:left="7286" w:hanging="851"/>
      <w:jc w:val="both"/>
    </w:pPr>
    <w:rPr>
      <w:rFonts w:ascii="Times" w:eastAsia="Times New Roman" w:hAnsi="Times" w:cs="Times New Roman"/>
      <w:sz w:val="24"/>
      <w:lang w:val="cs-CZ" w:eastAsia="zh-CN"/>
    </w:rPr>
  </w:style>
  <w:style w:type="character" w:styleId="Siln">
    <w:name w:val="Strong"/>
    <w:basedOn w:val="Standardnpsmoodstavce"/>
    <w:uiPriority w:val="22"/>
    <w:qFormat/>
    <w:rsid w:val="006C1D0B"/>
    <w:rPr>
      <w:b/>
      <w:bCs/>
    </w:rPr>
  </w:style>
  <w:style w:type="paragraph" w:customStyle="1" w:styleId="zkladn">
    <w:name w:val="základní"/>
    <w:basedOn w:val="Normln"/>
    <w:qFormat/>
    <w:locked/>
    <w:rsid w:val="001E34F7"/>
    <w:pPr>
      <w:widowControl w:val="0"/>
      <w:spacing w:before="240" w:after="240"/>
      <w:jc w:val="both"/>
    </w:pPr>
    <w:rPr>
      <w:rFonts w:eastAsia="Times New Roman"/>
      <w:szCs w:val="22"/>
      <w:lang w:val="cs-CZ" w:eastAsia="zh-CN"/>
    </w:rPr>
  </w:style>
  <w:style w:type="character" w:customStyle="1" w:styleId="st">
    <w:name w:val="st"/>
    <w:basedOn w:val="Standardnpsmoodstavce"/>
    <w:rsid w:val="009C796D"/>
  </w:style>
  <w:style w:type="paragraph" w:styleId="Odstavecseseznamem">
    <w:name w:val="List Paragraph"/>
    <w:basedOn w:val="Normln"/>
    <w:uiPriority w:val="34"/>
    <w:qFormat/>
    <w:rsid w:val="00621A1D"/>
    <w:pPr>
      <w:spacing w:before="0" w:line="240" w:lineRule="auto"/>
      <w:ind w:left="720"/>
    </w:pPr>
    <w:rPr>
      <w:rFonts w:ascii="Calibri" w:eastAsiaTheme="minorHAnsi" w:hAnsi="Calibri" w:cs="Calibri"/>
      <w:szCs w:val="22"/>
      <w:lang w:val="en-GB" w:eastAsia="en-GB"/>
    </w:rPr>
  </w:style>
  <w:style w:type="paragraph" w:customStyle="1" w:styleId="text11">
    <w:name w:val="text11"/>
    <w:basedOn w:val="Normln"/>
    <w:rsid w:val="005A3187"/>
    <w:pPr>
      <w:spacing w:before="240" w:after="240" w:line="336" w:lineRule="atLeast"/>
      <w:ind w:left="480" w:right="480"/>
      <w:jc w:val="both"/>
    </w:pPr>
    <w:rPr>
      <w:rFonts w:ascii="Times New Roman" w:eastAsia="Times New Roman" w:hAnsi="Times New Roman" w:cs="Times New Roman"/>
      <w:sz w:val="26"/>
      <w:szCs w:val="26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E4A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eastAsia="Times New Roman" w:hAnsi="Courier New" w:cs="Courier New"/>
      <w:sz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E4A10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D4CCE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7A2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5775">
                      <w:marLeft w:val="75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4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21408">
                      <w:marLeft w:val="75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8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v-bp.com/cs/nas-tym/jiri-barta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ndra.kvasnicova@bpv-bp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pv-bp.com.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ojistovnapatricie.cz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pv-bp.com/cs/nas-tym/marketa-nesetrilova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443F3-C81C-4601-B19E-F6FCA3A6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--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eva.deverova</dc:creator>
  <cp:lastModifiedBy>Iva Vosolová</cp:lastModifiedBy>
  <cp:revision>2</cp:revision>
  <cp:lastPrinted>2016-08-26T08:02:00Z</cp:lastPrinted>
  <dcterms:created xsi:type="dcterms:W3CDTF">2020-01-13T13:44:00Z</dcterms:created>
  <dcterms:modified xsi:type="dcterms:W3CDTF">2020-01-13T13:44:00Z</dcterms:modified>
</cp:coreProperties>
</file>